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BD48" w14:textId="6670587A" w:rsidR="00117AB8" w:rsidRDefault="00EA6B9B" w:rsidP="00807292">
      <w:pPr>
        <w:jc w:val="center"/>
      </w:pPr>
      <w:r>
        <w:rPr>
          <w:noProof/>
        </w:rPr>
        <w:drawing>
          <wp:inline distT="0" distB="0" distL="0" distR="0" wp14:anchorId="0C647F06" wp14:editId="450C20FB">
            <wp:extent cx="3086100" cy="495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B98">
        <w:rPr>
          <w:noProof/>
        </w:rPr>
        <w:lastRenderedPageBreak/>
        <w:drawing>
          <wp:inline distT="0" distB="0" distL="0" distR="0" wp14:anchorId="6C4068C4" wp14:editId="7E0023F5">
            <wp:extent cx="2962275" cy="462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E80" w14:textId="2EA0EECB" w:rsidR="006E0B98" w:rsidRDefault="006E0B98" w:rsidP="00807292">
      <w:pPr>
        <w:jc w:val="center"/>
      </w:pPr>
      <w:r>
        <w:rPr>
          <w:noProof/>
        </w:rPr>
        <w:lastRenderedPageBreak/>
        <w:drawing>
          <wp:inline distT="0" distB="0" distL="0" distR="0" wp14:anchorId="1ED9E0A3" wp14:editId="278B8603">
            <wp:extent cx="3028950" cy="472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5A315" w14:textId="4045D2F6" w:rsidR="006E0B98" w:rsidRDefault="006E0B98" w:rsidP="00807292">
      <w:pPr>
        <w:jc w:val="center"/>
      </w:pPr>
      <w:r>
        <w:rPr>
          <w:noProof/>
        </w:rPr>
        <w:lastRenderedPageBreak/>
        <w:drawing>
          <wp:inline distT="0" distB="0" distL="0" distR="0" wp14:anchorId="456FF32A" wp14:editId="72D0687F">
            <wp:extent cx="2971800" cy="471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06E6" w14:textId="5EA5A434" w:rsidR="006E0B98" w:rsidRDefault="006E0B98" w:rsidP="00807292">
      <w:pPr>
        <w:jc w:val="center"/>
      </w:pPr>
      <w:r w:rsidRPr="006E0B98">
        <w:rPr>
          <w:noProof/>
        </w:rPr>
        <w:lastRenderedPageBreak/>
        <w:drawing>
          <wp:inline distT="0" distB="0" distL="0" distR="0" wp14:anchorId="0349FE33" wp14:editId="48A98A39">
            <wp:extent cx="3048000" cy="474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93716" w14:textId="77E2F273" w:rsidR="00AE0373" w:rsidRDefault="00AE0373" w:rsidP="00807292">
      <w:pPr>
        <w:jc w:val="center"/>
      </w:pPr>
    </w:p>
    <w:p w14:paraId="314F3A1F" w14:textId="7CCE583D" w:rsidR="00AE0373" w:rsidRPr="00AE0373" w:rsidRDefault="00AE0373" w:rsidP="00AE0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proofErr w:type="spellStart"/>
      <w:r w:rsidRPr="00AE0373">
        <w:rPr>
          <w:rFonts w:ascii="Times New Roman" w:hAnsi="Times New Roman" w:cs="Times New Roman"/>
          <w:sz w:val="28"/>
          <w:szCs w:val="28"/>
        </w:rPr>
        <w:t>Шаб</w:t>
      </w:r>
      <w:proofErr w:type="spellEnd"/>
      <w:r w:rsidRPr="00AE0373">
        <w:rPr>
          <w:rFonts w:ascii="Times New Roman" w:hAnsi="Times New Roman" w:cs="Times New Roman"/>
          <w:sz w:val="28"/>
          <w:szCs w:val="28"/>
        </w:rPr>
        <w:t xml:space="preserve">, Л. Преодоление тревоги и беспокойства у подростков. : Пер. с англ. – СПб: «Диалектика», 2020. – 176 с. </w:t>
      </w:r>
    </w:p>
    <w:p w14:paraId="008C4F51" w14:textId="21CB84CF" w:rsidR="00AE0373" w:rsidRPr="00AE0373" w:rsidRDefault="00AE0373" w:rsidP="00AE03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B2BD63" w14:textId="3F18492F" w:rsidR="00AE0373" w:rsidRDefault="00AE0373" w:rsidP="00807292">
      <w:pPr>
        <w:jc w:val="center"/>
      </w:pPr>
    </w:p>
    <w:p w14:paraId="21BC5379" w14:textId="490AE893" w:rsidR="00AE0373" w:rsidRDefault="00AE0373" w:rsidP="00807292">
      <w:pPr>
        <w:jc w:val="center"/>
      </w:pPr>
    </w:p>
    <w:sectPr w:rsidR="00AE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B8"/>
    <w:rsid w:val="00117AB8"/>
    <w:rsid w:val="006E0B98"/>
    <w:rsid w:val="00807292"/>
    <w:rsid w:val="00AE0373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75C8"/>
  <w15:chartTrackingRefBased/>
  <w15:docId w15:val="{BB5DAA6C-AD96-4762-9DE7-15433BF3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2022-03-17T07:50:00Z</dcterms:created>
  <dcterms:modified xsi:type="dcterms:W3CDTF">2022-03-17T08:55:00Z</dcterms:modified>
</cp:coreProperties>
</file>